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D9E3" w14:textId="38E41FC5" w:rsidR="00EF0936" w:rsidRPr="00EF0936" w:rsidRDefault="00EF0936" w:rsidP="00EF0936">
      <w:pPr>
        <w:rPr>
          <w:rFonts w:ascii="Liberation Serif" w:hAnsi="Liberation Serif" w:cs="Liberation Serif"/>
        </w:rPr>
      </w:pPr>
    </w:p>
    <w:p w14:paraId="06D0D27A" w14:textId="77777777" w:rsidR="00EF0936" w:rsidRPr="00EF0936" w:rsidRDefault="00EF0936" w:rsidP="00EF0936">
      <w:pPr>
        <w:jc w:val="right"/>
        <w:rPr>
          <w:rFonts w:ascii="Liberation Serif" w:hAnsi="Liberation Serif" w:cs="Liberation Serif"/>
        </w:rPr>
      </w:pPr>
      <w:r w:rsidRPr="00EF0936">
        <w:rPr>
          <w:rFonts w:ascii="Liberation Serif" w:hAnsi="Liberation Serif" w:cs="Liberation Serif"/>
          <w:b/>
          <w:bCs/>
        </w:rPr>
        <w:t>УТВЕРЖДЕНЫ</w:t>
      </w:r>
      <w:r w:rsidRPr="00EF0936">
        <w:rPr>
          <w:rFonts w:ascii="Liberation Serif" w:hAnsi="Liberation Serif" w:cs="Liberation Serif"/>
          <w:b/>
          <w:bCs/>
        </w:rPr>
        <w:br/>
      </w:r>
      <w:hyperlink r:id="rId4" w:anchor="/document/402789292/entry/0" w:history="1">
        <w:r w:rsidRPr="00EF0936">
          <w:rPr>
            <w:rStyle w:val="a3"/>
            <w:rFonts w:ascii="Liberation Serif" w:hAnsi="Liberation Serif" w:cs="Liberation Serif"/>
            <w:b/>
            <w:bCs/>
          </w:rPr>
          <w:t>постановлением</w:t>
        </w:r>
      </w:hyperlink>
      <w:r w:rsidRPr="00EF0936">
        <w:rPr>
          <w:rFonts w:ascii="Liberation Serif" w:hAnsi="Liberation Serif" w:cs="Liberation Serif"/>
          <w:b/>
          <w:bCs/>
        </w:rPr>
        <w:t> Правительства</w:t>
      </w:r>
      <w:r w:rsidRPr="00EF0936">
        <w:rPr>
          <w:rFonts w:ascii="Liberation Serif" w:hAnsi="Liberation Serif" w:cs="Liberation Serif"/>
          <w:b/>
          <w:bCs/>
        </w:rPr>
        <w:br/>
        <w:t>Российской Федерации</w:t>
      </w:r>
      <w:r w:rsidRPr="00EF0936">
        <w:rPr>
          <w:rFonts w:ascii="Liberation Serif" w:hAnsi="Liberation Serif" w:cs="Liberation Serif"/>
          <w:b/>
          <w:bCs/>
        </w:rPr>
        <w:br/>
        <w:t>от 9 сентября 2021 г. N 1529</w:t>
      </w:r>
    </w:p>
    <w:p w14:paraId="14275349" w14:textId="77777777" w:rsidR="00EF0936" w:rsidRPr="00EF0936" w:rsidRDefault="00EF0936" w:rsidP="00EF093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F0936">
        <w:rPr>
          <w:rFonts w:ascii="Liberation Serif" w:hAnsi="Liberation Serif" w:cs="Liberation Serif"/>
          <w:b/>
          <w:bCs/>
          <w:sz w:val="24"/>
          <w:szCs w:val="24"/>
        </w:rPr>
        <w:t>Правила</w:t>
      </w:r>
      <w:r w:rsidRPr="00EF0936">
        <w:rPr>
          <w:rFonts w:ascii="Liberation Serif" w:hAnsi="Liberation Serif" w:cs="Liberation Serif"/>
          <w:b/>
          <w:bCs/>
          <w:sz w:val="24"/>
          <w:szCs w:val="24"/>
        </w:rPr>
        <w:br/>
        <w:t>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</w:p>
    <w:p w14:paraId="43B2DD81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1. Настоящие Правила определяют порядок и условия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 (далее соответственно - договор аренды, имущество, организации культуры), заключаемых:</w:t>
      </w:r>
    </w:p>
    <w:p w14:paraId="3FE86A5E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а) с организациями общественного питания в целях создания необходимых условий для организации питания посетителей и работников организаций культуры;</w:t>
      </w:r>
    </w:p>
    <w:p w14:paraId="52455D15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б)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организаций культуры.</w:t>
      </w:r>
    </w:p>
    <w:p w14:paraId="4A10CCAA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2. Организация культуры в целях заключения договора аренды размещает на 30 дней на своем официальном сайте в информационно-телекоммуникационной сети "Интернет" информацию о наличии имущества, предполагаемом сроке аренды, размере арендной платы, цели использования имущества и проект договора аренды, содержащий в том числе существенное условие, предусмотренное </w:t>
      </w:r>
      <w:hyperlink r:id="rId5" w:anchor="/document/402789292/entry/10112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абзацем вторым пункта 11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настоящих Правил.</w:t>
      </w:r>
    </w:p>
    <w:p w14:paraId="01886E07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 если в течение 30 дней со дня размещения указанных информации и проекта договора аренды не поступило ни одной заявки, предусмотренной </w:t>
      </w:r>
      <w:hyperlink r:id="rId6" w:anchor="/document/402789292/entry/1003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пунктом 3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настоящих Правил, организация культуры вправе разместить ее повторно в порядке, предусмотренном настоящим пунктом.</w:t>
      </w:r>
    </w:p>
    <w:p w14:paraId="69F1B4F8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3. В целях заключения договора аренды организация общественного питания, юридические лица и индивидуальные предприниматели, указанные в </w:t>
      </w:r>
      <w:hyperlink r:id="rId7" w:anchor="/document/402789292/entry/1001" w:history="1">
        <w:r w:rsidRPr="00EF0936">
          <w:rPr>
            <w:rStyle w:val="a3"/>
            <w:rFonts w:ascii="Liberation Serif" w:hAnsi="Liberation Serif" w:cs="Liberation Serif"/>
            <w:b/>
            <w:bCs/>
            <w:i/>
            <w:iCs/>
            <w:color w:val="000000" w:themeColor="text1"/>
            <w:sz w:val="24"/>
            <w:szCs w:val="24"/>
          </w:rPr>
          <w:t>пункте 1</w:t>
        </w:r>
      </w:hyperlink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 настоящих Правил (далее - заявители), направляют в электронной форме через официальный сайт организации культуры заявку о необходимости заключения договора аренды (далее - заявка), содержащую следующие сведения:</w:t>
      </w:r>
    </w:p>
    <w:p w14:paraId="78B8714C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lastRenderedPageBreak/>
        <w:t>а) наименование заявителя, сведения о месте нахождения, почтовый адрес заявителя, номер контактного телефона;</w:t>
      </w:r>
    </w:p>
    <w:p w14:paraId="56DF68CB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б) потребность заявителя в имуществе, предполагаемый срок аренды и цели использования имущества;</w:t>
      </w:r>
    </w:p>
    <w:p w14:paraId="53C41B12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в) 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 культуры, - для организации общественного питания;</w:t>
      </w:r>
    </w:p>
    <w:p w14:paraId="254F6DE3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г) информация об ассортименте сувенирной, издательской и аудиовизуальной продукции - для юридических лиц и индивидуальных предпринимателей, указанных в </w:t>
      </w:r>
      <w:hyperlink r:id="rId8" w:anchor="/document/402789292/entry/10012" w:history="1">
        <w:r w:rsidRPr="00EF0936">
          <w:rPr>
            <w:rStyle w:val="a3"/>
            <w:rFonts w:ascii="Liberation Serif" w:hAnsi="Liberation Serif" w:cs="Liberation Serif"/>
            <w:b/>
            <w:bCs/>
            <w:i/>
            <w:iCs/>
            <w:color w:val="000000" w:themeColor="text1"/>
            <w:sz w:val="24"/>
            <w:szCs w:val="24"/>
          </w:rPr>
          <w:t>подпункте "б" пункта 1</w:t>
        </w:r>
      </w:hyperlink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 настоящих Правил.</w:t>
      </w:r>
    </w:p>
    <w:p w14:paraId="733769F7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4. Индивидуальный предприниматель, указанный в </w:t>
      </w:r>
      <w:hyperlink r:id="rId9" w:anchor="/document/402789292/entry/10012" w:history="1">
        <w:r w:rsidRPr="00EF0936">
          <w:rPr>
            <w:rStyle w:val="a3"/>
            <w:rFonts w:ascii="Liberation Serif" w:hAnsi="Liberation Serif" w:cs="Liberation Serif"/>
            <w:b/>
            <w:bCs/>
            <w:i/>
            <w:iCs/>
            <w:color w:val="000000" w:themeColor="text1"/>
            <w:sz w:val="24"/>
            <w:szCs w:val="24"/>
          </w:rPr>
          <w:t>подпункте "б" пункта 1</w:t>
        </w:r>
      </w:hyperlink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 настоящих Правил, 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14:paraId="2FE91407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Организация общественного питания и юридическое лицо, указанное в </w:t>
      </w:r>
      <w:hyperlink r:id="rId10" w:anchor="/document/402789292/entry/10012" w:history="1">
        <w:r w:rsidRPr="00EF0936">
          <w:rPr>
            <w:rStyle w:val="a3"/>
            <w:rFonts w:ascii="Liberation Serif" w:hAnsi="Liberation Serif" w:cs="Liberation Serif"/>
            <w:b/>
            <w:bCs/>
            <w:i/>
            <w:iCs/>
            <w:color w:val="000000" w:themeColor="text1"/>
            <w:sz w:val="24"/>
            <w:szCs w:val="24"/>
          </w:rPr>
          <w:t>подпункте "б" пункта 1</w:t>
        </w:r>
      </w:hyperlink>
      <w:r w:rsidRPr="00EF0936">
        <w:rPr>
          <w:rFonts w:ascii="Liberation Serif" w:hAnsi="Liberation Serif" w:cs="Liberation Serif"/>
          <w:b/>
          <w:bCs/>
          <w:i/>
          <w:iCs/>
          <w:color w:val="000000" w:themeColor="text1"/>
          <w:sz w:val="24"/>
          <w:szCs w:val="24"/>
        </w:rPr>
        <w:t> настоящих Правил,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14:paraId="1BB22E95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5. Организация культуры рассматривает заявку и прилагаемые к ней документы в течение 5 рабочих дней со дня ее поступления и информирует в письменной форме заявителя о решении направить своему учредителю в письменной форме обращение о согласовании передачи заявителю в аренду имущества (далее - обращение) или об отказе заявителю в заключении договора аренды.</w:t>
      </w:r>
    </w:p>
    <w:p w14:paraId="1DB1BC09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6. Основаниями для отказа заявителю в заключении договора аренды являются:</w:t>
      </w:r>
    </w:p>
    <w:p w14:paraId="468757B2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а) отсутствие в заявке сведений, предусмотренных </w:t>
      </w:r>
      <w:hyperlink r:id="rId11" w:anchor="/document/402789292/entry/1003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пунктом 3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настоящих Правил;</w:t>
      </w:r>
    </w:p>
    <w:p w14:paraId="513C2ADE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б) непредставление документов, предусмотренных </w:t>
      </w:r>
      <w:hyperlink r:id="rId12" w:anchor="/document/402789292/entry/1004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пунктом 4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настоящих Правил;</w:t>
      </w:r>
    </w:p>
    <w:p w14:paraId="0C45735F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в) наличие в представленных сведениях и документах, указанных в </w:t>
      </w:r>
      <w:hyperlink r:id="rId13" w:anchor="/document/402789292/entry/10031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подпункте "а" пункта 3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и </w:t>
      </w:r>
      <w:hyperlink r:id="rId14" w:anchor="/document/402789292/entry/1004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пункте 4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настоящих Правил, недостоверной информации;</w:t>
      </w:r>
    </w:p>
    <w:p w14:paraId="5F67CC7E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г) несоответствие ассортимента сувенирной, издательской и аудиовизуальной продукции, предлагаемого юридическим лицом или индивидуальным предпринимателем, указанными в </w:t>
      </w:r>
      <w:hyperlink r:id="rId15" w:anchor="/document/402789292/entry/10012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подпункте "б" пункта 1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настоящих Правил, для розничной торговли в организации культуры целям ее деятельности;</w:t>
      </w:r>
    </w:p>
    <w:p w14:paraId="2C1CD478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д) наличие у заявителя неисполненных обязательств по ранее заключенным с организацией культуры договорам аренды.</w:t>
      </w:r>
    </w:p>
    <w:p w14:paraId="690FB923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7. В случае поступления в организацию культуры от 2 и более заявителей заявок в отношении аренды одного вида (видов) имущества решение о направлении учредителю обращения принимается в порядке очередности исходя из даты поступления заявок.</w:t>
      </w:r>
    </w:p>
    <w:p w14:paraId="1B3E60BD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8. Передача организацией культуры в аренду имущества подлежит согласованию с собственником имущества и органом, осуществляющим функции и полномочия ее учредителя, в случаях и в порядке, которые предусмотрены </w:t>
      </w:r>
      <w:hyperlink r:id="rId16" w:anchor="/document/187622/entry/0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постановлением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Правительства Российской Федерации от 3 декабря 2004 г. N 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предприятия", </w:t>
      </w:r>
      <w:hyperlink r:id="rId17" w:anchor="/document/191965/entry/1000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Положением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об осуществлении федеральными органами исполнительной власти функций и полномочий учредителя федерального автономного учреждения, утвержденным </w:t>
      </w:r>
      <w:hyperlink r:id="rId18" w:anchor="/document/191965/entry/0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постановлением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Правительства Российской Федерации от 10 октября 2007 г. N 662 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учреждения", и </w:t>
      </w:r>
      <w:hyperlink r:id="rId19" w:anchor="/document/198866/entry/0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постановлением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Правительства Российской Федерации от 26 июля 2010 г. N 537 "О порядке осуществления федеральными органами исполнительной власти функций и полномочий учредителя федерального государственного учреждения", - в отношении федеральных организаций культуры, законодательством субъектов Российской Федерации - в отношении организаций культуры субъектов Российской Федерации, нормативными правовыми актами органов местного самоуправления - в отношении муниципальных организаций культуры.</w:t>
      </w:r>
    </w:p>
    <w:p w14:paraId="4311F127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9. После получения указанного в </w:t>
      </w:r>
      <w:hyperlink r:id="rId20" w:anchor="/document/402789292/entry/1008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пункте 8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настоящих Правил согласования организация культуры заключает с заявителем договор аренды.</w:t>
      </w:r>
    </w:p>
    <w:p w14:paraId="225D2B61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10.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14:paraId="6B55E348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11. Организация культуры заключает с заявителем договор аренды, в соответствии с которым заявителю в аренду без права выкупа передается имущество.</w:t>
      </w:r>
    </w:p>
    <w:p w14:paraId="58FD2017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Существенным условием договора аренды является запрет на сдачу в субаренду имущества и на использование имущества в целях, не предусмотренных </w:t>
      </w:r>
      <w:hyperlink r:id="rId21" w:anchor="/document/12148517/entry/17135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частью 3</w:t>
        </w:r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  <w:vertAlign w:val="superscript"/>
          </w:rPr>
          <w:t> 5</w:t>
        </w:r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 статьи 17</w:t>
        </w:r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  <w:vertAlign w:val="superscript"/>
          </w:rPr>
          <w:t> 1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Федерального закона "О защите конкуренции".</w:t>
      </w:r>
    </w:p>
    <w:p w14:paraId="01C4F198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12. Размер арендной платы по договору аренды определяется на основании отчета об оценке рыночной стоимости арендной платы, подготовленного в соответствии с </w:t>
      </w:r>
      <w:hyperlink r:id="rId22" w:anchor="/document/12112509/entry/1" w:history="1">
        <w:r w:rsidRPr="00EF0936">
          <w:rPr>
            <w:rStyle w:val="a3"/>
            <w:rFonts w:ascii="Liberation Serif" w:hAnsi="Liberation Serif" w:cs="Liberation Serif"/>
            <w:color w:val="000000" w:themeColor="text1"/>
            <w:sz w:val="24"/>
            <w:szCs w:val="24"/>
          </w:rPr>
          <w:t>законодательством</w:t>
        </w:r>
      </w:hyperlink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 Российской Федерации об оценочной деятельности. Порядок, условия и сроки внесения арендной платы определяются договором аренды.</w:t>
      </w:r>
    </w:p>
    <w:p w14:paraId="7B750285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13. Контроль за целевым использованием переданного арендатору в аренду имущества осуществляется организацией культуры.</w:t>
      </w:r>
    </w:p>
    <w:p w14:paraId="52EEB243" w14:textId="77777777" w:rsidR="00EF0936" w:rsidRPr="00EF0936" w:rsidRDefault="00EF0936" w:rsidP="00D71F66">
      <w:pPr>
        <w:spacing w:after="0" w:line="36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F0936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 нарушения арендатором условий договора аренды организация культуры обязана принять меры, направленные на устранение такого нарушения или расторжение договора аренды в соответствии с законодательством Российской Федерации.</w:t>
      </w:r>
    </w:p>
    <w:p w14:paraId="2622148A" w14:textId="0D504E22" w:rsidR="000901FA" w:rsidRDefault="000901FA"/>
    <w:p w14:paraId="5CD21D08" w14:textId="77777777" w:rsidR="00D71F66" w:rsidRDefault="00D71F66"/>
    <w:sectPr w:rsidR="00D7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79"/>
    <w:rsid w:val="000901FA"/>
    <w:rsid w:val="007A7079"/>
    <w:rsid w:val="00D71F66"/>
    <w:rsid w:val="00E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63BD"/>
  <w15:chartTrackingRefBased/>
  <w15:docId w15:val="{7EBF8321-2C43-48D0-AD69-40321E22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9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2024-01-18T03:49:00Z</dcterms:created>
  <dcterms:modified xsi:type="dcterms:W3CDTF">2024-01-18T03:54:00Z</dcterms:modified>
</cp:coreProperties>
</file>